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AB505" w14:textId="2503ADCB" w:rsidR="005B1DC6" w:rsidRPr="008A44F2" w:rsidRDefault="005B1DC6" w:rsidP="00A777A7">
      <w:pPr>
        <w:shd w:val="clear" w:color="auto" w:fill="FFFFFF"/>
        <w:spacing w:after="240" w:line="240" w:lineRule="auto"/>
        <w:rPr>
          <w:rFonts w:ascii="Calibri" w:eastAsia="Times New Roman" w:hAnsi="Calibri" w:cs="Calibri"/>
          <w:b/>
          <w:bCs/>
          <w:color w:val="222222"/>
          <w:sz w:val="20"/>
          <w:szCs w:val="20"/>
        </w:rPr>
      </w:pPr>
      <w:r w:rsidRPr="008A44F2">
        <w:rPr>
          <w:rFonts w:ascii="Calibri" w:eastAsia="Times New Roman" w:hAnsi="Calibri" w:cs="Calibri"/>
          <w:b/>
          <w:bCs/>
          <w:color w:val="222222"/>
          <w:sz w:val="20"/>
          <w:szCs w:val="20"/>
        </w:rPr>
        <w:t>Instructor’s Note:</w:t>
      </w:r>
    </w:p>
    <w:p w14:paraId="192EFB99" w14:textId="512FA74A" w:rsidR="005B1DC6" w:rsidRDefault="005B1DC6" w:rsidP="00A777A7">
      <w:pPr>
        <w:shd w:val="clear" w:color="auto" w:fill="FFFFFF"/>
        <w:spacing w:after="240" w:line="240" w:lineRule="auto"/>
        <w:rPr>
          <w:rFonts w:ascii="Calibri" w:hAnsi="Calibri" w:cs="Calibri"/>
          <w:color w:val="222222"/>
          <w:sz w:val="20"/>
          <w:szCs w:val="20"/>
          <w:shd w:val="clear" w:color="auto" w:fill="FFFFFF"/>
        </w:rPr>
      </w:pPr>
      <w:r>
        <w:rPr>
          <w:rFonts w:ascii="Calibri" w:hAnsi="Calibri" w:cs="Calibri"/>
          <w:color w:val="222222"/>
          <w:sz w:val="20"/>
          <w:szCs w:val="20"/>
          <w:shd w:val="clear" w:color="auto" w:fill="FFFFFF"/>
        </w:rPr>
        <w:t>For the individual project</w:t>
      </w:r>
      <w:r w:rsidR="008A44F2">
        <w:rPr>
          <w:rFonts w:ascii="Calibri" w:hAnsi="Calibri" w:cs="Calibri"/>
          <w:color w:val="222222"/>
          <w:sz w:val="20"/>
          <w:szCs w:val="20"/>
          <w:shd w:val="clear" w:color="auto" w:fill="FFFFFF"/>
        </w:rPr>
        <w:t xml:space="preserve">, you will prepare a </w:t>
      </w:r>
      <w:r w:rsidR="008A44F2" w:rsidRPr="008A44F2">
        <w:rPr>
          <w:rFonts w:ascii="Calibri" w:hAnsi="Calibri" w:cs="Calibri"/>
          <w:color w:val="222222"/>
          <w:sz w:val="20"/>
          <w:szCs w:val="20"/>
          <w:highlight w:val="yellow"/>
          <w:shd w:val="clear" w:color="auto" w:fill="FFFFFF"/>
        </w:rPr>
        <w:t>10-to-12-page paper</w:t>
      </w:r>
      <w:r w:rsidR="008A44F2">
        <w:rPr>
          <w:rFonts w:ascii="Calibri" w:hAnsi="Calibri" w:cs="Calibri"/>
          <w:color w:val="222222"/>
          <w:sz w:val="20"/>
          <w:szCs w:val="20"/>
          <w:shd w:val="clear" w:color="auto" w:fill="FFFFFF"/>
        </w:rPr>
        <w:t xml:space="preserve"> that explores the impact of the differing reimbursement methods for a common office visit. You will explore the impact this visit has on our account’s receivables.  You will also comment on how we can improve our reimbursement.  In order to stay in business an organization must make money.  This is true for healthcare. If we do not make money we cannot pay for supplies or our staff.  These are the key components for a healthcare organization.  As a manager, you will need to review the expenses and revenue for your department and its impact on the organization’s bottom line.  You will need to use that information to forecast the money, supplies, and staff you need to continue to do this.  In some cases, it might be letting go of staff or services. </w:t>
      </w:r>
    </w:p>
    <w:p w14:paraId="7FF1844B" w14:textId="4683B695" w:rsidR="008A44F2" w:rsidRPr="008A44F2" w:rsidRDefault="008A44F2" w:rsidP="00A777A7">
      <w:pPr>
        <w:shd w:val="clear" w:color="auto" w:fill="FFFFFF"/>
        <w:spacing w:after="240" w:line="240" w:lineRule="auto"/>
        <w:rPr>
          <w:rFonts w:ascii="Calibri" w:hAnsi="Calibri" w:cs="Calibri"/>
          <w:b/>
          <w:bCs/>
          <w:color w:val="222222"/>
          <w:sz w:val="20"/>
          <w:szCs w:val="20"/>
          <w:shd w:val="clear" w:color="auto" w:fill="FFFFFF"/>
        </w:rPr>
      </w:pPr>
      <w:r w:rsidRPr="008A44F2">
        <w:rPr>
          <w:rFonts w:ascii="Calibri" w:hAnsi="Calibri" w:cs="Calibri"/>
          <w:b/>
          <w:bCs/>
          <w:color w:val="222222"/>
          <w:sz w:val="20"/>
          <w:szCs w:val="20"/>
          <w:shd w:val="clear" w:color="auto" w:fill="FFFFFF"/>
        </w:rPr>
        <w:t>Objective:</w:t>
      </w:r>
    </w:p>
    <w:p w14:paraId="7C22BE4A" w14:textId="77777777" w:rsidR="008A44F2" w:rsidRPr="008A44F2" w:rsidRDefault="008A44F2" w:rsidP="008A44F2">
      <w:pPr>
        <w:numPr>
          <w:ilvl w:val="0"/>
          <w:numId w:val="3"/>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8A44F2">
        <w:rPr>
          <w:rFonts w:ascii="Calibri" w:eastAsia="Times New Roman" w:hAnsi="Calibri" w:cs="Calibri"/>
          <w:color w:val="222222"/>
          <w:sz w:val="20"/>
          <w:szCs w:val="20"/>
        </w:rPr>
        <w:t>Assess financial data sources and make recommendations for data reporting in support of decision making.</w:t>
      </w:r>
    </w:p>
    <w:p w14:paraId="5BEB1CC9" w14:textId="77777777" w:rsidR="008A44F2" w:rsidRPr="008A44F2" w:rsidRDefault="008A44F2" w:rsidP="008A44F2">
      <w:pPr>
        <w:numPr>
          <w:ilvl w:val="0"/>
          <w:numId w:val="3"/>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8A44F2">
        <w:rPr>
          <w:rFonts w:ascii="Calibri" w:eastAsia="Times New Roman" w:hAnsi="Calibri" w:cs="Calibri"/>
          <w:color w:val="222222"/>
          <w:sz w:val="20"/>
          <w:szCs w:val="20"/>
        </w:rPr>
        <w:t>Explain Medicare payment systems, coding, pricing and billing and their impact on financial performance and decision making.</w:t>
      </w:r>
    </w:p>
    <w:p w14:paraId="18D908B4" w14:textId="35491ECE" w:rsidR="005B1DC6" w:rsidRPr="008A44F2" w:rsidRDefault="005B1DC6" w:rsidP="00A777A7">
      <w:pPr>
        <w:shd w:val="clear" w:color="auto" w:fill="FFFFFF"/>
        <w:spacing w:after="240" w:line="240" w:lineRule="auto"/>
        <w:rPr>
          <w:rFonts w:ascii="Calibri" w:eastAsia="Times New Roman" w:hAnsi="Calibri" w:cs="Calibri"/>
          <w:b/>
          <w:bCs/>
          <w:color w:val="222222"/>
          <w:sz w:val="20"/>
          <w:szCs w:val="20"/>
          <w:u w:val="single"/>
        </w:rPr>
      </w:pPr>
      <w:r w:rsidRPr="006D1880">
        <w:rPr>
          <w:rFonts w:ascii="Calibri" w:eastAsia="Times New Roman" w:hAnsi="Calibri" w:cs="Calibri"/>
          <w:b/>
          <w:bCs/>
          <w:color w:val="222222"/>
          <w:sz w:val="20"/>
          <w:szCs w:val="20"/>
          <w:highlight w:val="yellow"/>
          <w:u w:val="single"/>
        </w:rPr>
        <w:t xml:space="preserve">Unit </w:t>
      </w:r>
      <w:r w:rsidR="008A44F2" w:rsidRPr="006D1880">
        <w:rPr>
          <w:rFonts w:ascii="Calibri" w:eastAsia="Times New Roman" w:hAnsi="Calibri" w:cs="Calibri"/>
          <w:b/>
          <w:bCs/>
          <w:color w:val="222222"/>
          <w:sz w:val="20"/>
          <w:szCs w:val="20"/>
          <w:highlight w:val="yellow"/>
          <w:u w:val="single"/>
        </w:rPr>
        <w:t xml:space="preserve">5 IP </w:t>
      </w:r>
      <w:r w:rsidRPr="006D1880">
        <w:rPr>
          <w:rFonts w:ascii="Calibri" w:eastAsia="Times New Roman" w:hAnsi="Calibri" w:cs="Calibri"/>
          <w:b/>
          <w:bCs/>
          <w:color w:val="222222"/>
          <w:sz w:val="20"/>
          <w:szCs w:val="20"/>
          <w:highlight w:val="yellow"/>
          <w:u w:val="single"/>
        </w:rPr>
        <w:t>Assignment:</w:t>
      </w:r>
    </w:p>
    <w:p w14:paraId="385502C7" w14:textId="3B339E8E" w:rsidR="008A44F2" w:rsidRPr="008A44F2" w:rsidRDefault="008A44F2" w:rsidP="008A44F2">
      <w:pPr>
        <w:shd w:val="clear" w:color="auto" w:fill="FFFFFF"/>
        <w:spacing w:after="240" w:line="240" w:lineRule="auto"/>
        <w:rPr>
          <w:rFonts w:ascii="Calibri" w:eastAsia="Times New Roman" w:hAnsi="Calibri" w:cs="Calibri"/>
          <w:color w:val="222222"/>
          <w:sz w:val="20"/>
          <w:szCs w:val="20"/>
        </w:rPr>
      </w:pPr>
      <w:r w:rsidRPr="008A44F2">
        <w:rPr>
          <w:rFonts w:ascii="Calibri" w:eastAsia="Times New Roman" w:hAnsi="Calibri" w:cs="Calibri"/>
          <w:b/>
          <w:bCs/>
          <w:color w:val="222222"/>
          <w:sz w:val="20"/>
          <w:szCs w:val="20"/>
        </w:rPr>
        <w:t>Research Paper</w:t>
      </w:r>
      <w:r w:rsidR="006D1880">
        <w:rPr>
          <w:rFonts w:ascii="Calibri" w:eastAsia="Times New Roman" w:hAnsi="Calibri" w:cs="Calibri"/>
          <w:b/>
          <w:bCs/>
          <w:color w:val="222222"/>
          <w:sz w:val="20"/>
          <w:szCs w:val="20"/>
        </w:rPr>
        <w:t xml:space="preserve"> (APA 7</w:t>
      </w:r>
      <w:r w:rsidR="006D1880" w:rsidRPr="006D1880">
        <w:rPr>
          <w:rFonts w:ascii="Calibri" w:eastAsia="Times New Roman" w:hAnsi="Calibri" w:cs="Calibri"/>
          <w:b/>
          <w:bCs/>
          <w:color w:val="222222"/>
          <w:sz w:val="20"/>
          <w:szCs w:val="20"/>
          <w:vertAlign w:val="superscript"/>
        </w:rPr>
        <w:t>th</w:t>
      </w:r>
      <w:r w:rsidR="006D1880">
        <w:rPr>
          <w:rFonts w:ascii="Calibri" w:eastAsia="Times New Roman" w:hAnsi="Calibri" w:cs="Calibri"/>
          <w:b/>
          <w:bCs/>
          <w:color w:val="222222"/>
          <w:sz w:val="20"/>
          <w:szCs w:val="20"/>
        </w:rPr>
        <w:t xml:space="preserve"> Edition format)</w:t>
      </w:r>
    </w:p>
    <w:p w14:paraId="30585533" w14:textId="2D8BF85A" w:rsidR="008A44F2" w:rsidRPr="008A44F2" w:rsidRDefault="008A44F2" w:rsidP="008A44F2">
      <w:pPr>
        <w:shd w:val="clear" w:color="auto" w:fill="FFFFFF"/>
        <w:spacing w:after="240" w:line="240" w:lineRule="auto"/>
        <w:rPr>
          <w:rFonts w:ascii="Calibri" w:eastAsia="Times New Roman" w:hAnsi="Calibri" w:cs="Calibri"/>
          <w:color w:val="222222"/>
          <w:sz w:val="20"/>
          <w:szCs w:val="20"/>
        </w:rPr>
      </w:pPr>
      <w:r w:rsidRPr="008A44F2">
        <w:rPr>
          <w:rFonts w:ascii="Calibri" w:eastAsia="Times New Roman" w:hAnsi="Calibri" w:cs="Calibri"/>
          <w:color w:val="222222"/>
          <w:sz w:val="20"/>
          <w:szCs w:val="20"/>
        </w:rPr>
        <w:t xml:space="preserve">Search the Internet, to find a spreadsheet program that will assist you in completing this assignment. </w:t>
      </w:r>
      <w:r w:rsidRPr="008A44F2">
        <w:rPr>
          <w:rFonts w:ascii="Calibri" w:eastAsia="Times New Roman" w:hAnsi="Calibri" w:cs="Calibri"/>
          <w:b/>
          <w:bCs/>
          <w:color w:val="222222"/>
          <w:sz w:val="20"/>
          <w:szCs w:val="20"/>
        </w:rPr>
        <w:t>The spreadsheet and calculations are to be attached at the end of the paper as an appendix after the Reference page</w:t>
      </w:r>
      <w:r w:rsidRPr="008A44F2">
        <w:rPr>
          <w:rFonts w:ascii="Calibri" w:eastAsia="Times New Roman" w:hAnsi="Calibri" w:cs="Calibri"/>
          <w:color w:val="222222"/>
          <w:sz w:val="20"/>
          <w:szCs w:val="20"/>
        </w:rPr>
        <w:t>.</w:t>
      </w:r>
    </w:p>
    <w:p w14:paraId="47C95540" w14:textId="77777777" w:rsidR="008A44F2" w:rsidRPr="008A44F2" w:rsidRDefault="008A44F2" w:rsidP="008A44F2">
      <w:pPr>
        <w:shd w:val="clear" w:color="auto" w:fill="FFFFFF"/>
        <w:spacing w:after="240" w:line="240" w:lineRule="auto"/>
        <w:rPr>
          <w:rFonts w:ascii="Calibri" w:eastAsia="Times New Roman" w:hAnsi="Calibri" w:cs="Calibri"/>
          <w:color w:val="222222"/>
          <w:sz w:val="20"/>
          <w:szCs w:val="20"/>
        </w:rPr>
      </w:pPr>
      <w:r w:rsidRPr="008A44F2">
        <w:rPr>
          <w:rFonts w:ascii="Calibri" w:eastAsia="Times New Roman" w:hAnsi="Calibri" w:cs="Calibri"/>
          <w:b/>
          <w:bCs/>
          <w:color w:val="222222"/>
          <w:sz w:val="20"/>
          <w:szCs w:val="20"/>
        </w:rPr>
        <w:t>Case Study:</w:t>
      </w:r>
      <w:r w:rsidRPr="008A44F2">
        <w:rPr>
          <w:rFonts w:ascii="Calibri" w:eastAsia="Times New Roman" w:hAnsi="Calibri" w:cs="Calibri"/>
          <w:color w:val="222222"/>
          <w:sz w:val="20"/>
          <w:szCs w:val="20"/>
        </w:rPr>
        <w:t> You are assessing the payer–patient mix for a health care organization. Currently, your payer mix is 40% Medicare, 10% Medicaid, 25% traditional indemnity insurance, 20% managed care, and 5% self-pay patients. Complete the following:</w:t>
      </w:r>
    </w:p>
    <w:p w14:paraId="11D85C48" w14:textId="77777777" w:rsidR="008A44F2" w:rsidRPr="008A44F2" w:rsidRDefault="008A44F2" w:rsidP="008A44F2">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8A44F2">
        <w:rPr>
          <w:rFonts w:ascii="Calibri" w:eastAsia="Times New Roman" w:hAnsi="Calibri" w:cs="Calibri"/>
          <w:color w:val="222222"/>
          <w:sz w:val="20"/>
          <w:szCs w:val="20"/>
        </w:rPr>
        <w:t>Using the most common office visit, CPT code 99214, determine the reimbursement from the Centers for Medicare and Medicaid Services (online fee schedule available for Medicare).</w:t>
      </w:r>
    </w:p>
    <w:p w14:paraId="3458FC71" w14:textId="77777777" w:rsidR="008A44F2" w:rsidRPr="008A44F2" w:rsidRDefault="008A44F2" w:rsidP="008A44F2">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8A44F2">
        <w:rPr>
          <w:rFonts w:ascii="Calibri" w:eastAsia="Times New Roman" w:hAnsi="Calibri" w:cs="Calibri"/>
          <w:color w:val="222222"/>
          <w:sz w:val="20"/>
          <w:szCs w:val="20"/>
        </w:rPr>
        <w:t>Using the same CPT code, 99214, determine the reimbursement for Medicaid (fee schedules should be available from the individual state).</w:t>
      </w:r>
    </w:p>
    <w:p w14:paraId="54D93D10" w14:textId="77777777" w:rsidR="008A44F2" w:rsidRPr="008A44F2" w:rsidRDefault="008A44F2" w:rsidP="008A44F2">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8A44F2">
        <w:rPr>
          <w:rFonts w:ascii="Calibri" w:eastAsia="Times New Roman" w:hAnsi="Calibri" w:cs="Calibri"/>
          <w:color w:val="222222"/>
          <w:sz w:val="20"/>
          <w:szCs w:val="20"/>
        </w:rPr>
        <w:t>Using the same CPT code, 99214, create at least 3 other traditional indemnity insurance reimbursements. If possible, use the actual reimbursement from the insurance carrier. It may be possible to obtain actual reimbursement information from your personal insurance carrier. If the information is not available, assume reimbursement by traditional indemnity insurance is usually 200% reimbursed more than Medicare and Medicaid, and managed care is usually 133% more than Medicare and Medicaid.</w:t>
      </w:r>
    </w:p>
    <w:p w14:paraId="2D0869A1" w14:textId="77777777" w:rsidR="008A44F2" w:rsidRPr="008A44F2" w:rsidRDefault="008A44F2" w:rsidP="008A44F2">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8A44F2">
        <w:rPr>
          <w:rFonts w:ascii="Calibri" w:eastAsia="Times New Roman" w:hAnsi="Calibri" w:cs="Calibri"/>
          <w:color w:val="222222"/>
          <w:sz w:val="20"/>
          <w:szCs w:val="20"/>
        </w:rPr>
        <w:t>Compose an accounts receivable benchmark from this information showing columns for current, 30–60, 61–90, 90–120, and greater than 120 days.</w:t>
      </w:r>
    </w:p>
    <w:p w14:paraId="36C8FEA9" w14:textId="77777777" w:rsidR="008A44F2" w:rsidRPr="008A44F2" w:rsidRDefault="008A44F2" w:rsidP="008A44F2">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8A44F2">
        <w:rPr>
          <w:rFonts w:ascii="Calibri" w:eastAsia="Times New Roman" w:hAnsi="Calibri" w:cs="Calibri"/>
          <w:color w:val="222222"/>
          <w:sz w:val="20"/>
          <w:szCs w:val="20"/>
        </w:rPr>
        <w:t>Assess the information for areas of improved reimbursement of at least 20% or more.</w:t>
      </w:r>
    </w:p>
    <w:p w14:paraId="57DE6393" w14:textId="77777777" w:rsidR="008A44F2" w:rsidRPr="008A44F2" w:rsidRDefault="008A44F2" w:rsidP="008A44F2">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8A44F2">
        <w:rPr>
          <w:rFonts w:ascii="Calibri" w:eastAsia="Times New Roman" w:hAnsi="Calibri" w:cs="Calibri"/>
          <w:color w:val="222222"/>
          <w:sz w:val="20"/>
          <w:szCs w:val="20"/>
        </w:rPr>
        <w:t>Evaluate the options available to change the payer–patient mix with consideration of related legal and ethical issues.</w:t>
      </w:r>
    </w:p>
    <w:p w14:paraId="099ED180" w14:textId="77777777" w:rsidR="008A44F2" w:rsidRPr="008A44F2" w:rsidRDefault="008A44F2" w:rsidP="008A44F2">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8A44F2">
        <w:rPr>
          <w:rFonts w:ascii="Calibri" w:eastAsia="Times New Roman" w:hAnsi="Calibri" w:cs="Calibri"/>
          <w:color w:val="222222"/>
          <w:sz w:val="20"/>
          <w:szCs w:val="20"/>
        </w:rPr>
        <w:t>Propose a best strategy with justification and rationale based on effective decision-making tenets.</w:t>
      </w:r>
    </w:p>
    <w:p w14:paraId="2CD7DFD6" w14:textId="77777777" w:rsidR="008A44F2" w:rsidRPr="008A44F2" w:rsidRDefault="008A44F2" w:rsidP="008A44F2">
      <w:pPr>
        <w:shd w:val="clear" w:color="auto" w:fill="FFFFFF"/>
        <w:spacing w:after="240" w:line="240" w:lineRule="auto"/>
        <w:rPr>
          <w:rFonts w:ascii="Calibri" w:eastAsia="Times New Roman" w:hAnsi="Calibri" w:cs="Calibri"/>
          <w:color w:val="222222"/>
          <w:sz w:val="20"/>
          <w:szCs w:val="20"/>
        </w:rPr>
      </w:pPr>
      <w:r w:rsidRPr="008A44F2">
        <w:rPr>
          <w:rFonts w:ascii="Calibri" w:eastAsia="Times New Roman" w:hAnsi="Calibri" w:cs="Calibri"/>
          <w:b/>
          <w:bCs/>
          <w:color w:val="222222"/>
          <w:sz w:val="20"/>
          <w:szCs w:val="20"/>
          <w:highlight w:val="yellow"/>
          <w:u w:val="single"/>
        </w:rPr>
        <w:t>The body of the resultant paper should be 10–12 pages</w:t>
      </w:r>
      <w:r w:rsidRPr="008A44F2">
        <w:rPr>
          <w:rFonts w:ascii="Calibri" w:eastAsia="Times New Roman" w:hAnsi="Calibri" w:cs="Calibri"/>
          <w:color w:val="222222"/>
          <w:sz w:val="20"/>
          <w:szCs w:val="20"/>
          <w:highlight w:val="yellow"/>
        </w:rPr>
        <w:t xml:space="preserve">. Spreadsheets demonstrating the accounts receivable analysis will be attached as appendices, and there will be </w:t>
      </w:r>
      <w:r w:rsidRPr="006D1880">
        <w:rPr>
          <w:rFonts w:ascii="Calibri" w:eastAsia="Times New Roman" w:hAnsi="Calibri" w:cs="Calibri"/>
          <w:b/>
          <w:bCs/>
          <w:color w:val="222222"/>
          <w:sz w:val="20"/>
          <w:szCs w:val="20"/>
          <w:highlight w:val="yellow"/>
        </w:rPr>
        <w:t>at least 7 relevant peer-reviewed academic or professional references published within the past 5 years</w:t>
      </w:r>
      <w:r w:rsidRPr="008A44F2">
        <w:rPr>
          <w:rFonts w:ascii="Calibri" w:eastAsia="Times New Roman" w:hAnsi="Calibri" w:cs="Calibri"/>
          <w:color w:val="222222"/>
          <w:sz w:val="20"/>
          <w:szCs w:val="20"/>
          <w:highlight w:val="yellow"/>
        </w:rPr>
        <w:t>. Also attach appropriate fee schedules.</w:t>
      </w:r>
    </w:p>
    <w:p w14:paraId="10509ABF" w14:textId="77777777" w:rsidR="00A777A7" w:rsidRDefault="00A777A7"/>
    <w:sectPr w:rsidR="00A77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46754"/>
    <w:multiLevelType w:val="multilevel"/>
    <w:tmpl w:val="9D1C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73598"/>
    <w:multiLevelType w:val="multilevel"/>
    <w:tmpl w:val="AE1A8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B6C6D"/>
    <w:multiLevelType w:val="multilevel"/>
    <w:tmpl w:val="E094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E485E"/>
    <w:multiLevelType w:val="multilevel"/>
    <w:tmpl w:val="2038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A7"/>
    <w:rsid w:val="005B1DC6"/>
    <w:rsid w:val="006D1880"/>
    <w:rsid w:val="008A44F2"/>
    <w:rsid w:val="00A7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F1AA"/>
  <w15:chartTrackingRefBased/>
  <w15:docId w15:val="{85DD252C-5BE8-41EE-96A0-78607F9D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7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44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90091">
      <w:bodyDiv w:val="1"/>
      <w:marLeft w:val="0"/>
      <w:marRight w:val="0"/>
      <w:marTop w:val="0"/>
      <w:marBottom w:val="0"/>
      <w:divBdr>
        <w:top w:val="none" w:sz="0" w:space="0" w:color="auto"/>
        <w:left w:val="none" w:sz="0" w:space="0" w:color="auto"/>
        <w:bottom w:val="none" w:sz="0" w:space="0" w:color="auto"/>
        <w:right w:val="none" w:sz="0" w:space="0" w:color="auto"/>
      </w:divBdr>
    </w:div>
    <w:div w:id="871650301">
      <w:bodyDiv w:val="1"/>
      <w:marLeft w:val="0"/>
      <w:marRight w:val="0"/>
      <w:marTop w:val="0"/>
      <w:marBottom w:val="0"/>
      <w:divBdr>
        <w:top w:val="none" w:sz="0" w:space="0" w:color="auto"/>
        <w:left w:val="none" w:sz="0" w:space="0" w:color="auto"/>
        <w:bottom w:val="none" w:sz="0" w:space="0" w:color="auto"/>
        <w:right w:val="none" w:sz="0" w:space="0" w:color="auto"/>
      </w:divBdr>
    </w:div>
    <w:div w:id="14357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Jackson</dc:creator>
  <cp:keywords/>
  <dc:description/>
  <cp:lastModifiedBy>Audrey Jackson</cp:lastModifiedBy>
  <cp:revision>3</cp:revision>
  <dcterms:created xsi:type="dcterms:W3CDTF">2021-02-17T22:31:00Z</dcterms:created>
  <dcterms:modified xsi:type="dcterms:W3CDTF">2021-02-18T23:27:00Z</dcterms:modified>
</cp:coreProperties>
</file>